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12" w:lineRule="auto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附件3：</w:t>
      </w:r>
    </w:p>
    <w:p>
      <w:pPr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第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三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</w:rPr>
        <w:t>届“名师杯”中学物理微课大赛评分标准</w:t>
      </w:r>
    </w:p>
    <w:tbl>
      <w:tblPr>
        <w:tblStyle w:val="4"/>
        <w:tblpPr w:leftFromText="180" w:rightFromText="180" w:vertAnchor="text" w:horzAnchor="page" w:tblpX="1183" w:tblpY="400"/>
        <w:tblOverlap w:val="never"/>
        <w:tblW w:w="946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1209"/>
        <w:gridCol w:w="71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11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一级</w:t>
            </w:r>
          </w:p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指标</w:t>
            </w:r>
          </w:p>
        </w:tc>
        <w:tc>
          <w:tcPr>
            <w:tcW w:w="120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ind w:firstLine="4" w:firstLineChars="2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二级指标</w:t>
            </w:r>
          </w:p>
        </w:tc>
        <w:tc>
          <w:tcPr>
            <w:tcW w:w="7135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指标说明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1119" w:type="dxa"/>
            <w:vMerge w:val="restar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</w:p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教学</w:t>
            </w:r>
          </w:p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设计</w:t>
            </w:r>
            <w:r>
              <w:rPr>
                <w:rFonts w:hint="eastAsia" w:ascii="仿宋" w:hAnsi="仿宋" w:eastAsia="仿宋" w:cs="仿宋"/>
                <w:shd w:val="clear" w:color="auto" w:fill="FFFFFF"/>
              </w:rPr>
              <w:br w:type="textWrapping"/>
            </w:r>
            <w:r>
              <w:rPr>
                <w:rFonts w:hint="eastAsia" w:ascii="仿宋" w:hAnsi="仿宋" w:eastAsia="仿宋" w:cs="仿宋"/>
                <w:shd w:val="clear" w:color="auto" w:fill="FFFFFF"/>
              </w:rPr>
              <w:t>(40分)</w:t>
            </w:r>
          </w:p>
        </w:tc>
        <w:tc>
          <w:tcPr>
            <w:tcW w:w="120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重点突出</w:t>
            </w:r>
          </w:p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（10分）</w:t>
            </w:r>
          </w:p>
        </w:tc>
        <w:tc>
          <w:tcPr>
            <w:tcW w:w="7135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知识点选取准确、科学；选题好、适合用多媒体表达，是教学中典型、重点和难点问题。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119" w:type="dxa"/>
            <w:vMerge w:val="continue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0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方法灵活</w:t>
            </w:r>
          </w:p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（10分）</w:t>
            </w:r>
          </w:p>
        </w:tc>
        <w:tc>
          <w:tcPr>
            <w:tcW w:w="7135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教学过程深入浅出，形象生动，精彩有趣，启发引导性强，有利于提升学生学习的积极主动性，至少做到微原创。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119" w:type="dxa"/>
            <w:vMerge w:val="continue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</w:p>
        </w:tc>
        <w:tc>
          <w:tcPr>
            <w:tcW w:w="120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结构清晰</w:t>
            </w:r>
          </w:p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（10分）</w:t>
            </w:r>
          </w:p>
        </w:tc>
        <w:tc>
          <w:tcPr>
            <w:tcW w:w="7135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结构清晰、重点突出，逻辑性强，明了易懂。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119" w:type="dxa"/>
            <w:vMerge w:val="continue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0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课件设计</w:t>
            </w:r>
          </w:p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（10分）</w:t>
            </w:r>
          </w:p>
        </w:tc>
        <w:tc>
          <w:tcPr>
            <w:tcW w:w="7135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课件使用大赛模板，制作简洁，构图合理，素材搭配恰当，能够很好表现主题。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5" w:hRule="atLeast"/>
        </w:trPr>
        <w:tc>
          <w:tcPr>
            <w:tcW w:w="111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技术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实现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（30分）</w:t>
            </w:r>
          </w:p>
        </w:tc>
        <w:tc>
          <w:tcPr>
            <w:tcW w:w="120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技术规范</w:t>
            </w:r>
          </w:p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（30分）</w:t>
            </w:r>
          </w:p>
        </w:tc>
        <w:tc>
          <w:tcPr>
            <w:tcW w:w="7135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1.录制方式：选用设备适宜微课的常态化应用和高效便捷的制作，符合日常教学、辅导的习惯。不建议使用录制成本较高的方式录制，不建议使用课堂录播方式。</w:t>
            </w:r>
          </w:p>
          <w:p>
            <w:pPr>
              <w:shd w:val="solid" w:color="FFFFFF" w:fill="auto"/>
              <w:autoSpaceDN w:val="0"/>
              <w:ind w:firstLine="378" w:firstLineChars="180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2.讲解形式：建议采用包括PPT展示、教学器具演示、纸面书写讲解、实验操作等组合的常用形式，作品亲切生动，突出知识点内容、画面简洁、不做多余的渲染，建议使用简单、专业的微课录制软件，不建议在后期制作上投入大量精力。</w:t>
            </w:r>
          </w:p>
          <w:p>
            <w:pPr>
              <w:shd w:val="solid" w:color="FFFFFF" w:fill="auto"/>
              <w:autoSpaceDN w:val="0"/>
              <w:ind w:firstLine="378" w:firstLineChars="180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3.视频内容能充分体现教师对知识点多方位的讲解能力，（例如：理论讲解、实物操作和解题过程等相结合的微课）让学生易学易懂。</w:t>
            </w:r>
          </w:p>
          <w:p>
            <w:pPr>
              <w:shd w:val="solid" w:color="FFFFFF" w:fill="auto"/>
              <w:autoSpaceDN w:val="0"/>
              <w:ind w:firstLine="378" w:firstLineChars="180"/>
              <w:rPr>
                <w:rFonts w:hint="eastAsia" w:ascii="仿宋" w:hAnsi="仿宋" w:eastAsia="仿宋" w:cs="仿宋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4.微课视频时长不超过8分钟，视频画质清晰、图像稳定、声音清楚、声音与画面同步。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1119" w:type="dxa"/>
            <w:vMerge w:val="restar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</w:p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作品</w:t>
            </w:r>
          </w:p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规范</w:t>
            </w:r>
            <w:r>
              <w:rPr>
                <w:rFonts w:hint="eastAsia" w:ascii="仿宋" w:hAnsi="仿宋" w:eastAsia="仿宋" w:cs="仿宋"/>
                <w:shd w:val="clear" w:color="auto" w:fill="FFFFFF"/>
              </w:rPr>
              <w:br w:type="textWrapping"/>
            </w:r>
            <w:r>
              <w:rPr>
                <w:rFonts w:hint="eastAsia" w:ascii="仿宋" w:hAnsi="仿宋" w:eastAsia="仿宋" w:cs="仿宋"/>
                <w:shd w:val="clear" w:color="auto" w:fill="FFFFFF"/>
              </w:rPr>
              <w:t>(20分)</w:t>
            </w:r>
          </w:p>
        </w:tc>
        <w:tc>
          <w:tcPr>
            <w:tcW w:w="120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ind w:firstLine="105" w:firstLineChars="50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材料齐全</w:t>
            </w:r>
          </w:p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（10分）</w:t>
            </w:r>
          </w:p>
        </w:tc>
        <w:tc>
          <w:tcPr>
            <w:tcW w:w="7135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 xml:space="preserve">所提交的作品必须是微课视频，还可以提供与选题相关的辅助扩展资料（可选）：微教案、微习题、微课件、微反思等，便于评审。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119" w:type="dxa"/>
            <w:vMerge w:val="continue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0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语言规范</w:t>
            </w:r>
          </w:p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（10分）</w:t>
            </w:r>
          </w:p>
        </w:tc>
        <w:tc>
          <w:tcPr>
            <w:tcW w:w="7135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语言发音标准、简明、有亲和力。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111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教学</w:t>
            </w:r>
          </w:p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效果</w:t>
            </w:r>
          </w:p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(10分)</w:t>
            </w:r>
          </w:p>
        </w:tc>
        <w:tc>
          <w:tcPr>
            <w:tcW w:w="8344" w:type="dxa"/>
            <w:gridSpan w:val="2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完成设定的教学目标，有效解决实际教学问题，促进学生思维的提升、能力的提高。</w:t>
            </w:r>
          </w:p>
          <w:p>
            <w:pPr>
              <w:shd w:val="solid" w:color="FFFFFF" w:fill="auto"/>
              <w:autoSpaceDN w:val="0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有示范和引领作用，可以推广。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11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hint="eastAsia"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合计</w:t>
            </w:r>
          </w:p>
        </w:tc>
        <w:tc>
          <w:tcPr>
            <w:tcW w:w="8344" w:type="dxa"/>
            <w:gridSpan w:val="2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ind w:firstLine="281"/>
              <w:jc w:val="left"/>
              <w:rPr>
                <w:rFonts w:hint="eastAsia" w:ascii="仿宋" w:hAnsi="仿宋" w:eastAsia="仿宋" w:cs="仿宋"/>
                <w:shd w:val="clear" w:color="auto" w:fill="FFFFFF"/>
              </w:rPr>
            </w:pPr>
          </w:p>
        </w:tc>
      </w:tr>
    </w:tbl>
    <w:p>
      <w:pPr>
        <w:widowControl/>
        <w:jc w:val="left"/>
        <w:rPr>
          <w:rFonts w:hint="eastAsia" w:ascii="仿宋" w:hAnsi="仿宋" w:eastAsia="仿宋" w:cs="仿宋"/>
          <w:sz w:val="24"/>
        </w:rPr>
      </w:pPr>
    </w:p>
    <w:p>
      <w:pPr>
        <w:widowControl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t>备注：参考作品点赞情况进行打分。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FB8"/>
    <w:rsid w:val="0000328C"/>
    <w:rsid w:val="0070497C"/>
    <w:rsid w:val="009F5FB8"/>
    <w:rsid w:val="00D009C5"/>
    <w:rsid w:val="4D68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653</Characters>
  <Lines>5</Lines>
  <Paragraphs>1</Paragraphs>
  <TotalTime>1</TotalTime>
  <ScaleCrop>false</ScaleCrop>
  <LinksUpToDate>false</LinksUpToDate>
  <CharactersWithSpaces>766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2020-03-11T05:19:00Z</dcterms:created>
  <dc:creator>PC</dc:creator>
  <cp:lastModifiedBy>张旭婷</cp:lastModifiedBy>
  <dcterms:modified xsi:type="dcterms:W3CDTF">2021-05-14T06:05:46Z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8D402D09508745599B545A0A8E7F8C27</vt:lpwstr>
  </property>
</Properties>
</file>